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8E7" w:rsidRDefault="001708E7" w:rsidP="001708E7">
      <w:pPr>
        <w:spacing w:line="276" w:lineRule="auto"/>
        <w:jc w:val="center"/>
        <w:rPr>
          <w:rFonts w:ascii="Calibri" w:hAnsi="Calibri" w:cs="Arial"/>
          <w:b/>
          <w:sz w:val="28"/>
          <w:szCs w:val="28"/>
          <w:lang w:eastAsia="en-GB"/>
        </w:rPr>
      </w:pPr>
      <w:proofErr w:type="spellStart"/>
      <w:r w:rsidRPr="001708E7">
        <w:rPr>
          <w:rFonts w:ascii="Calibri" w:hAnsi="Calibri" w:cs="Arial"/>
          <w:b/>
          <w:sz w:val="28"/>
          <w:szCs w:val="28"/>
          <w:lang w:eastAsia="en-GB"/>
        </w:rPr>
        <w:t>MoRES</w:t>
      </w:r>
      <w:proofErr w:type="spellEnd"/>
      <w:r w:rsidRPr="001708E7">
        <w:rPr>
          <w:rFonts w:ascii="Calibri" w:hAnsi="Calibri" w:cs="Arial"/>
          <w:b/>
          <w:sz w:val="28"/>
          <w:szCs w:val="28"/>
          <w:lang w:eastAsia="en-GB"/>
        </w:rPr>
        <w:t xml:space="preserve"> Ten Determinant Framework</w:t>
      </w:r>
    </w:p>
    <w:p w:rsidR="001708E7" w:rsidRPr="001708E7" w:rsidRDefault="001708E7" w:rsidP="001708E7">
      <w:pPr>
        <w:spacing w:line="276" w:lineRule="auto"/>
        <w:rPr>
          <w:rFonts w:ascii="Calibri" w:hAnsi="Calibri" w:cs="Arial"/>
          <w:b/>
          <w:sz w:val="28"/>
          <w:szCs w:val="28"/>
          <w:lang w:eastAsia="en-GB"/>
        </w:rPr>
      </w:pPr>
    </w:p>
    <w:tbl>
      <w:tblPr>
        <w:tblpPr w:leftFromText="180" w:rightFromText="180" w:vertAnchor="text" w:horzAnchor="margin" w:tblpY="14"/>
        <w:tblW w:w="899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11"/>
        <w:gridCol w:w="2319"/>
        <w:gridCol w:w="6060"/>
      </w:tblGrid>
      <w:tr w:rsidR="001708E7" w:rsidRPr="00854090" w:rsidTr="00DB15E0">
        <w:trPr>
          <w:trHeight w:val="322"/>
        </w:trPr>
        <w:tc>
          <w:tcPr>
            <w:tcW w:w="6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C000"/>
            </w:tcBorders>
            <w:shd w:val="clear" w:color="auto" w:fill="F5B71B"/>
            <w:tcMar>
              <w:top w:w="15" w:type="dxa"/>
              <w:left w:w="15" w:type="dxa"/>
              <w:bottom w:w="0" w:type="dxa"/>
              <w:right w:w="15" w:type="dxa"/>
            </w:tcMar>
            <w:textDirection w:val="tbLrV"/>
            <w:vAlign w:val="bottom"/>
            <w:hideMark/>
          </w:tcPr>
          <w:p w:rsidR="001708E7" w:rsidRPr="00854090" w:rsidRDefault="001708E7" w:rsidP="00DB15E0">
            <w:pPr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A53F49">
              <w:rPr>
                <w:rFonts w:ascii="Arial" w:eastAsia="Times New Roman" w:hAnsi="Arial" w:cs="Arial"/>
                <w:color w:val="FFFFFF"/>
                <w:kern w:val="24"/>
                <w:sz w:val="16"/>
                <w:szCs w:val="16"/>
              </w:rPr>
              <w:t> </w:t>
            </w:r>
          </w:p>
        </w:tc>
        <w:tc>
          <w:tcPr>
            <w:tcW w:w="231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DB15E0">
            <w:pPr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b/>
                <w:bCs/>
                <w:color w:val="F5B71B"/>
                <w:kern w:val="24"/>
              </w:rPr>
              <w:t>DET</w:t>
            </w:r>
            <w:r w:rsidRPr="001708E7">
              <w:rPr>
                <w:rFonts w:ascii="Arial" w:hAnsi="Arial"/>
                <w:b/>
                <w:bCs/>
                <w:color w:val="F5B71B"/>
                <w:kern w:val="24"/>
              </w:rPr>
              <w:t>ERMINANT</w:t>
            </w:r>
            <w:r w:rsidRPr="001708E7">
              <w:rPr>
                <w:rFonts w:ascii="Arial" w:eastAsia="Times New Roman" w:hAnsi="Arial" w:cs="Arial"/>
                <w:b/>
                <w:bCs/>
                <w:color w:val="F5B71B"/>
                <w:kern w:val="24"/>
              </w:rPr>
              <w:t>S</w:t>
            </w:r>
          </w:p>
        </w:tc>
        <w:tc>
          <w:tcPr>
            <w:tcW w:w="606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DB15E0">
            <w:pPr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b/>
                <w:bCs/>
                <w:color w:val="F5B71B"/>
                <w:kern w:val="24"/>
              </w:rPr>
              <w:t xml:space="preserve">DEFINITIONS </w:t>
            </w:r>
          </w:p>
        </w:tc>
      </w:tr>
      <w:tr w:rsidR="001708E7" w:rsidRPr="00854090" w:rsidTr="00DB15E0">
        <w:trPr>
          <w:trHeight w:val="276"/>
        </w:trPr>
        <w:tc>
          <w:tcPr>
            <w:tcW w:w="6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C000"/>
            </w:tcBorders>
            <w:shd w:val="clear" w:color="auto" w:fill="F5B71B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1708E7" w:rsidRPr="00854090" w:rsidRDefault="001708E7" w:rsidP="00DB15E0">
            <w:pPr>
              <w:jc w:val="center"/>
              <w:textAlignment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3F49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16"/>
                <w:szCs w:val="16"/>
              </w:rPr>
              <w:t>ENABLING ENVIRONMENT</w:t>
            </w:r>
          </w:p>
        </w:tc>
        <w:tc>
          <w:tcPr>
            <w:tcW w:w="231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DEA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1708E7">
            <w:pPr>
              <w:jc w:val="center"/>
              <w:textAlignment w:val="top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color w:val="000000"/>
                <w:kern w:val="24"/>
              </w:rPr>
              <w:t>Social Norms</w:t>
            </w:r>
          </w:p>
        </w:tc>
        <w:tc>
          <w:tcPr>
            <w:tcW w:w="606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DB15E0">
            <w:pPr>
              <w:ind w:left="173"/>
              <w:textAlignment w:val="top"/>
              <w:rPr>
                <w:rFonts w:ascii="Arial" w:eastAsia="Times New Roman" w:hAnsi="Arial" w:cs="Arial"/>
              </w:rPr>
            </w:pPr>
            <w:r w:rsidRPr="001708E7">
              <w:rPr>
                <w:rFonts w:ascii="Arial" w:hAnsi="Arial"/>
                <w:color w:val="000000"/>
                <w:kern w:val="24"/>
              </w:rPr>
              <w:t xml:space="preserve">Social rules of behavior which are mainly driven by </w:t>
            </w:r>
            <w:r w:rsidRPr="001708E7">
              <w:rPr>
                <w:rFonts w:ascii="Arial" w:hAnsi="Arial"/>
                <w:color w:val="000000"/>
                <w:kern w:val="24"/>
                <w:u w:val="single"/>
              </w:rPr>
              <w:t>social pressure</w:t>
            </w:r>
          </w:p>
        </w:tc>
      </w:tr>
      <w:tr w:rsidR="001708E7" w:rsidRPr="00854090" w:rsidTr="00DB15E0">
        <w:trPr>
          <w:trHeight w:val="18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C000"/>
            </w:tcBorders>
            <w:vAlign w:val="center"/>
            <w:hideMark/>
          </w:tcPr>
          <w:p w:rsidR="001708E7" w:rsidRPr="00854090" w:rsidRDefault="001708E7" w:rsidP="00DB15E0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DEA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1708E7">
            <w:pPr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color w:val="000000"/>
                <w:kern w:val="24"/>
              </w:rPr>
              <w:t>Legislation/Policy</w:t>
            </w:r>
          </w:p>
        </w:tc>
        <w:tc>
          <w:tcPr>
            <w:tcW w:w="606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DB15E0">
            <w:pPr>
              <w:ind w:left="173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hAnsi="Arial"/>
                <w:color w:val="000000"/>
                <w:kern w:val="24"/>
              </w:rPr>
              <w:t>Adequacy of laws and policies at national and sub-national levels</w:t>
            </w:r>
          </w:p>
        </w:tc>
      </w:tr>
      <w:tr w:rsidR="001708E7" w:rsidRPr="00854090" w:rsidTr="00DB15E0">
        <w:trPr>
          <w:trHeight w:val="26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C000"/>
            </w:tcBorders>
            <w:vAlign w:val="center"/>
            <w:hideMark/>
          </w:tcPr>
          <w:p w:rsidR="001708E7" w:rsidRPr="00854090" w:rsidRDefault="001708E7" w:rsidP="00DB15E0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DEA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1708E7">
            <w:pPr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color w:val="000000"/>
                <w:kern w:val="24"/>
              </w:rPr>
              <w:t>Budget/Expenditure</w:t>
            </w:r>
          </w:p>
        </w:tc>
        <w:tc>
          <w:tcPr>
            <w:tcW w:w="606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DB15E0">
            <w:pPr>
              <w:ind w:left="173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hAnsi="Arial"/>
                <w:color w:val="000000"/>
                <w:kern w:val="24"/>
              </w:rPr>
              <w:t>Allocation &amp; disbursement of required resources at national and sub-national levels and efficiency of use</w:t>
            </w:r>
          </w:p>
        </w:tc>
      </w:tr>
      <w:tr w:rsidR="001708E7" w:rsidRPr="00854090" w:rsidTr="00DB15E0">
        <w:trPr>
          <w:trHeight w:val="25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C000"/>
            </w:tcBorders>
            <w:vAlign w:val="center"/>
            <w:hideMark/>
          </w:tcPr>
          <w:p w:rsidR="001708E7" w:rsidRPr="00854090" w:rsidRDefault="001708E7" w:rsidP="00DB15E0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DEA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1708E7">
            <w:pPr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color w:val="000000"/>
                <w:kern w:val="24"/>
              </w:rPr>
              <w:t>Management /Coordination</w:t>
            </w:r>
          </w:p>
        </w:tc>
        <w:tc>
          <w:tcPr>
            <w:tcW w:w="606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DB15E0">
            <w:pPr>
              <w:ind w:left="173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hAnsi="Arial"/>
                <w:color w:val="000000"/>
                <w:kern w:val="24"/>
              </w:rPr>
              <w:t>Clarity of roles and accountabilities and mechanism for coordination/ partnership</w:t>
            </w:r>
          </w:p>
        </w:tc>
      </w:tr>
      <w:tr w:rsidR="001708E7" w:rsidRPr="00854090" w:rsidTr="00DB15E0">
        <w:trPr>
          <w:trHeight w:val="266"/>
        </w:trPr>
        <w:tc>
          <w:tcPr>
            <w:tcW w:w="6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C000"/>
            </w:tcBorders>
            <w:shd w:val="clear" w:color="auto" w:fill="F5B71B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1708E7" w:rsidRPr="00854090" w:rsidRDefault="001708E7" w:rsidP="00DB15E0">
            <w:pPr>
              <w:jc w:val="center"/>
              <w:textAlignment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3F49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16"/>
                <w:szCs w:val="16"/>
              </w:rPr>
              <w:t xml:space="preserve">SUPPLY </w:t>
            </w:r>
          </w:p>
        </w:tc>
        <w:tc>
          <w:tcPr>
            <w:tcW w:w="231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DEA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1708E7">
            <w:pPr>
              <w:jc w:val="center"/>
              <w:textAlignment w:val="top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color w:val="000000"/>
                <w:kern w:val="24"/>
              </w:rPr>
              <w:t>Availability of Essential</w:t>
            </w:r>
          </w:p>
          <w:p w:rsidR="001708E7" w:rsidRPr="001708E7" w:rsidRDefault="001708E7" w:rsidP="001708E7">
            <w:pPr>
              <w:jc w:val="center"/>
              <w:textAlignment w:val="top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color w:val="000000"/>
                <w:kern w:val="24"/>
              </w:rPr>
              <w:t>Commodities/Inputs</w:t>
            </w:r>
          </w:p>
        </w:tc>
        <w:tc>
          <w:tcPr>
            <w:tcW w:w="606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DB15E0">
            <w:pPr>
              <w:tabs>
                <w:tab w:val="left" w:pos="175"/>
              </w:tabs>
              <w:ind w:left="187"/>
              <w:textAlignment w:val="top"/>
              <w:rPr>
                <w:rFonts w:ascii="Arial" w:eastAsia="Times New Roman" w:hAnsi="Arial" w:cs="Arial"/>
              </w:rPr>
            </w:pPr>
            <w:r w:rsidRPr="001708E7">
              <w:rPr>
                <w:rFonts w:ascii="Arial" w:hAnsi="Arial"/>
                <w:color w:val="000000"/>
                <w:kern w:val="24"/>
              </w:rPr>
              <w:t>Essential commodities/ inputs required to deliver a service or adopt a practice</w:t>
            </w:r>
          </w:p>
        </w:tc>
      </w:tr>
      <w:tr w:rsidR="001708E7" w:rsidRPr="00854090" w:rsidTr="00DB15E0">
        <w:trPr>
          <w:trHeight w:val="401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C000"/>
            </w:tcBorders>
            <w:vAlign w:val="center"/>
            <w:hideMark/>
          </w:tcPr>
          <w:p w:rsidR="001708E7" w:rsidRPr="00854090" w:rsidRDefault="001708E7" w:rsidP="00DB15E0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DEA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1708E7">
            <w:pPr>
              <w:ind w:left="86"/>
              <w:jc w:val="center"/>
              <w:textAlignment w:val="top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color w:val="000000"/>
                <w:kern w:val="24"/>
              </w:rPr>
              <w:t>Access to Adequately Staffed                                Services, Facilities and Information</w:t>
            </w:r>
          </w:p>
        </w:tc>
        <w:tc>
          <w:tcPr>
            <w:tcW w:w="606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DB15E0">
            <w:pPr>
              <w:ind w:left="187"/>
              <w:textAlignment w:val="top"/>
              <w:rPr>
                <w:rFonts w:ascii="Arial" w:eastAsia="Times New Roman" w:hAnsi="Arial" w:cs="Arial"/>
              </w:rPr>
            </w:pPr>
            <w:r w:rsidRPr="001708E7">
              <w:rPr>
                <w:rFonts w:ascii="Arial" w:hAnsi="Arial"/>
                <w:color w:val="000000"/>
                <w:kern w:val="24"/>
              </w:rPr>
              <w:t>Physical access (services, facilities, information, human resources)</w:t>
            </w:r>
          </w:p>
        </w:tc>
      </w:tr>
      <w:tr w:rsidR="001708E7" w:rsidRPr="00854090" w:rsidTr="00DB15E0">
        <w:trPr>
          <w:trHeight w:val="165"/>
        </w:trPr>
        <w:tc>
          <w:tcPr>
            <w:tcW w:w="6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C000"/>
            </w:tcBorders>
            <w:shd w:val="clear" w:color="auto" w:fill="F5B71B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1708E7" w:rsidRPr="00854090" w:rsidRDefault="001708E7" w:rsidP="00DB15E0">
            <w:pPr>
              <w:jc w:val="center"/>
              <w:textAlignment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3F49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16"/>
                <w:szCs w:val="16"/>
              </w:rPr>
              <w:t>DEMAND</w:t>
            </w:r>
          </w:p>
        </w:tc>
        <w:tc>
          <w:tcPr>
            <w:tcW w:w="231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DEA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1708E7">
            <w:pPr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color w:val="000000"/>
                <w:kern w:val="24"/>
              </w:rPr>
              <w:t>Financial Access</w:t>
            </w:r>
          </w:p>
        </w:tc>
        <w:tc>
          <w:tcPr>
            <w:tcW w:w="606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DB15E0">
            <w:pPr>
              <w:ind w:left="187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hAnsi="Arial"/>
                <w:color w:val="000000"/>
                <w:kern w:val="24"/>
              </w:rPr>
              <w:t>Ability to afford the direct and indirect costs of using services and adopting practices</w:t>
            </w:r>
          </w:p>
        </w:tc>
      </w:tr>
      <w:tr w:rsidR="001708E7" w:rsidRPr="00854090" w:rsidTr="00DB15E0">
        <w:trPr>
          <w:trHeight w:val="276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C000"/>
            </w:tcBorders>
            <w:vAlign w:val="center"/>
            <w:hideMark/>
          </w:tcPr>
          <w:p w:rsidR="001708E7" w:rsidRPr="00854090" w:rsidRDefault="001708E7" w:rsidP="00DB15E0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DEA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1708E7">
            <w:pPr>
              <w:ind w:left="86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color w:val="000000"/>
                <w:kern w:val="24"/>
              </w:rPr>
              <w:t>Social and Cultural Practices and Beliefs</w:t>
            </w:r>
          </w:p>
        </w:tc>
        <w:tc>
          <w:tcPr>
            <w:tcW w:w="606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DB15E0">
            <w:pPr>
              <w:ind w:left="187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hAnsi="Arial"/>
                <w:color w:val="000000"/>
                <w:kern w:val="24"/>
              </w:rPr>
              <w:t>Individual beliefs and practices of both providers and populations that may be widely shared but are not mainly driven by ‘social pressure’ or expectations</w:t>
            </w:r>
          </w:p>
        </w:tc>
      </w:tr>
      <w:tr w:rsidR="001708E7" w:rsidRPr="00854090" w:rsidTr="00DB15E0">
        <w:trPr>
          <w:trHeight w:val="155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C000"/>
            </w:tcBorders>
            <w:vAlign w:val="center"/>
            <w:hideMark/>
          </w:tcPr>
          <w:p w:rsidR="001708E7" w:rsidRPr="00854090" w:rsidRDefault="001708E7" w:rsidP="00DB15E0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DEA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1708E7">
            <w:pPr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color w:val="000000"/>
                <w:kern w:val="24"/>
              </w:rPr>
              <w:t>Timing &amp; Continuity of Use</w:t>
            </w:r>
          </w:p>
        </w:tc>
        <w:tc>
          <w:tcPr>
            <w:tcW w:w="606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DB15E0">
            <w:pPr>
              <w:ind w:left="187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hAnsi="Arial"/>
                <w:color w:val="000000"/>
                <w:kern w:val="24"/>
              </w:rPr>
              <w:t>Timeliness/completion/continuity in use of services and adoption of practices</w:t>
            </w:r>
          </w:p>
        </w:tc>
      </w:tr>
      <w:tr w:rsidR="001708E7" w:rsidRPr="00854090" w:rsidTr="00DB15E0">
        <w:trPr>
          <w:trHeight w:val="753"/>
        </w:trPr>
        <w:tc>
          <w:tcPr>
            <w:tcW w:w="6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C000"/>
            </w:tcBorders>
            <w:shd w:val="clear" w:color="auto" w:fill="F5B71B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1708E7" w:rsidRPr="00854090" w:rsidRDefault="001708E7" w:rsidP="00DB15E0">
            <w:pPr>
              <w:jc w:val="center"/>
              <w:textAlignment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53F49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16"/>
                <w:szCs w:val="16"/>
              </w:rPr>
              <w:t xml:space="preserve">QUALITY </w:t>
            </w:r>
          </w:p>
        </w:tc>
        <w:tc>
          <w:tcPr>
            <w:tcW w:w="231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DEA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1708E7">
            <w:pPr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eastAsia="Times New Roman" w:hAnsi="Arial" w:cs="Arial"/>
                <w:color w:val="000000"/>
                <w:kern w:val="24"/>
              </w:rPr>
              <w:t>Quality</w:t>
            </w:r>
          </w:p>
        </w:tc>
        <w:tc>
          <w:tcPr>
            <w:tcW w:w="6060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08E7" w:rsidRPr="001708E7" w:rsidRDefault="001708E7" w:rsidP="00DB15E0">
            <w:pPr>
              <w:ind w:left="187"/>
              <w:textAlignment w:val="center"/>
              <w:rPr>
                <w:rFonts w:ascii="Arial" w:eastAsia="Times New Roman" w:hAnsi="Arial" w:cs="Arial"/>
              </w:rPr>
            </w:pPr>
            <w:r w:rsidRPr="001708E7">
              <w:rPr>
                <w:rFonts w:ascii="Arial" w:hAnsi="Arial"/>
                <w:color w:val="000000"/>
                <w:kern w:val="24"/>
              </w:rPr>
              <w:t>Adherence to required quality standards (national or international norms)</w:t>
            </w:r>
          </w:p>
        </w:tc>
      </w:tr>
    </w:tbl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1708E7" w:rsidRPr="00A53F49" w:rsidRDefault="001708E7" w:rsidP="001708E7">
      <w:pPr>
        <w:spacing w:line="276" w:lineRule="auto"/>
        <w:jc w:val="both"/>
        <w:rPr>
          <w:rFonts w:ascii="Calibri" w:hAnsi="Calibri" w:cs="Arial"/>
          <w:b/>
          <w:sz w:val="22"/>
          <w:szCs w:val="22"/>
          <w:lang w:eastAsia="en-GB"/>
        </w:rPr>
      </w:pPr>
    </w:p>
    <w:p w:rsidR="003E28BC" w:rsidRDefault="003E28BC"/>
    <w:p w:rsidR="00B964E0" w:rsidRPr="00B964E0" w:rsidRDefault="00B964E0"/>
    <w:sectPr w:rsidR="00B964E0" w:rsidRPr="00B964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3BC" w:rsidRDefault="00AE33BC" w:rsidP="00A06651">
      <w:r>
        <w:separator/>
      </w:r>
    </w:p>
  </w:endnote>
  <w:endnote w:type="continuationSeparator" w:id="0">
    <w:p w:rsidR="00AE33BC" w:rsidRDefault="00AE33BC" w:rsidP="00A0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651" w:rsidRDefault="00A066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651" w:rsidRDefault="00A066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651" w:rsidRDefault="00A066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3BC" w:rsidRDefault="00AE33BC" w:rsidP="00A06651">
      <w:r>
        <w:separator/>
      </w:r>
    </w:p>
  </w:footnote>
  <w:footnote w:type="continuationSeparator" w:id="0">
    <w:p w:rsidR="00AE33BC" w:rsidRDefault="00AE33BC" w:rsidP="00A06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651" w:rsidRDefault="00A066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651" w:rsidRPr="00A06651" w:rsidRDefault="00A06651" w:rsidP="00A06651">
    <w:pPr>
      <w:tabs>
        <w:tab w:val="center" w:pos="4680"/>
        <w:tab w:val="right" w:pos="9360"/>
      </w:tabs>
      <w:ind w:left="2160"/>
      <w:jc w:val="right"/>
      <w:rPr>
        <w:rFonts w:asciiTheme="minorHAnsi" w:eastAsiaTheme="minorEastAsia" w:hAnsiTheme="minorHAnsi" w:cstheme="minorBidi"/>
        <w:color w:val="5A5A5A" w:themeColor="text1" w:themeTint="A5"/>
        <w:sz w:val="20"/>
        <w:szCs w:val="20"/>
      </w:rPr>
    </w:pPr>
    <w:bookmarkStart w:id="0" w:name="_GoBack"/>
    <w:r w:rsidRPr="00A06651">
      <w:rPr>
        <w:rFonts w:asciiTheme="minorHAnsi" w:eastAsiaTheme="minorEastAsia" w:hAnsiTheme="minorHAnsi" w:cstheme="minorBidi"/>
        <w:noProof/>
        <w:color w:val="5A5A5A" w:themeColor="text1" w:themeTint="A5"/>
        <w:sz w:val="20"/>
        <w:szCs w:val="20"/>
      </w:rPr>
      <w:drawing>
        <wp:anchor distT="0" distB="0" distL="114300" distR="114300" simplePos="0" relativeHeight="251660288" behindDoc="1" locked="0" layoutInCell="1" allowOverlap="1" wp14:anchorId="256716A4" wp14:editId="7EDC511D">
          <wp:simplePos x="0" y="0"/>
          <wp:positionH relativeFrom="column">
            <wp:posOffset>-5317</wp:posOffset>
          </wp:positionH>
          <wp:positionV relativeFrom="paragraph">
            <wp:posOffset>-151736</wp:posOffset>
          </wp:positionV>
          <wp:extent cx="819150" cy="400050"/>
          <wp:effectExtent l="0" t="0" r="0" b="0"/>
          <wp:wrapTight wrapText="bothSides">
            <wp:wrapPolygon edited="0">
              <wp:start x="5526" y="0"/>
              <wp:lineTo x="502" y="3086"/>
              <wp:lineTo x="0" y="4114"/>
              <wp:lineTo x="0" y="20571"/>
              <wp:lineTo x="21098" y="20571"/>
              <wp:lineTo x="21098" y="2057"/>
              <wp:lineTo x="19591" y="0"/>
              <wp:lineTo x="5526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 logo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A06651">
      <w:rPr>
        <w:rFonts w:asciiTheme="minorHAnsi" w:eastAsiaTheme="minorEastAsia" w:hAnsiTheme="minorHAnsi" w:cstheme="minorBidi"/>
        <w:color w:val="5A5A5A" w:themeColor="text1" w:themeTint="A5"/>
        <w:sz w:val="20"/>
        <w:szCs w:val="20"/>
      </w:rPr>
      <w:t>RBM Workshop for UNICEF Staff – Hand</w:t>
    </w:r>
    <w:r w:rsidR="009D3BED">
      <w:rPr>
        <w:rFonts w:asciiTheme="minorHAnsi" w:eastAsiaTheme="minorEastAsia" w:hAnsiTheme="minorHAnsi" w:cstheme="minorBidi"/>
        <w:color w:val="5A5A5A" w:themeColor="text1" w:themeTint="A5"/>
        <w:sz w:val="20"/>
        <w:szCs w:val="20"/>
      </w:rPr>
      <w:t>-</w:t>
    </w:r>
    <w:r w:rsidRPr="00A06651">
      <w:rPr>
        <w:rFonts w:asciiTheme="minorHAnsi" w:eastAsiaTheme="minorEastAsia" w:hAnsiTheme="minorHAnsi" w:cstheme="minorBidi"/>
        <w:color w:val="5A5A5A" w:themeColor="text1" w:themeTint="A5"/>
        <w:sz w:val="20"/>
        <w:szCs w:val="20"/>
      </w:rPr>
      <w:t xml:space="preserve">out </w:t>
    </w:r>
    <w:r>
      <w:rPr>
        <w:rFonts w:asciiTheme="minorHAnsi" w:eastAsiaTheme="minorEastAsia" w:hAnsiTheme="minorHAnsi" w:cstheme="minorBidi"/>
        <w:color w:val="5A5A5A" w:themeColor="text1" w:themeTint="A5"/>
        <w:sz w:val="20"/>
        <w:szCs w:val="20"/>
      </w:rPr>
      <w:t>Day 1</w:t>
    </w:r>
    <w:r w:rsidRPr="00A06651">
      <w:rPr>
        <w:rFonts w:asciiTheme="minorHAnsi" w:eastAsiaTheme="minorEastAsia" w:hAnsiTheme="minorHAnsi" w:cstheme="minorBidi"/>
        <w:color w:val="5A5A5A" w:themeColor="text1" w:themeTint="A5"/>
        <w:sz w:val="20"/>
        <w:szCs w:val="20"/>
      </w:rPr>
      <w:t xml:space="preserve"> </w:t>
    </w:r>
    <w:r>
      <w:rPr>
        <w:rFonts w:asciiTheme="minorHAnsi" w:eastAsiaTheme="minorEastAsia" w:hAnsiTheme="minorHAnsi" w:cstheme="minorBidi"/>
        <w:color w:val="5A5A5A" w:themeColor="text1" w:themeTint="A5"/>
        <w:sz w:val="20"/>
        <w:szCs w:val="20"/>
      </w:rPr>
      <w:t>Developing Causality</w:t>
    </w:r>
  </w:p>
  <w:p w:rsidR="00A06651" w:rsidRDefault="00A066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651" w:rsidRDefault="00A066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E7"/>
    <w:rsid w:val="001708E7"/>
    <w:rsid w:val="001E7E63"/>
    <w:rsid w:val="00291B55"/>
    <w:rsid w:val="003A2B66"/>
    <w:rsid w:val="003E28BC"/>
    <w:rsid w:val="009D3BED"/>
    <w:rsid w:val="00A06651"/>
    <w:rsid w:val="00AD4B70"/>
    <w:rsid w:val="00AE33BC"/>
    <w:rsid w:val="00B9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2D2693-5A14-467F-A8B9-85805FF5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8E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66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6651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066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6651"/>
    <w:rPr>
      <w:rFonts w:ascii="Times New Roman" w:eastAsia="MS Mincho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Boelens</dc:creator>
  <cp:lastModifiedBy>Dylan Welch</cp:lastModifiedBy>
  <cp:revision>4</cp:revision>
  <dcterms:created xsi:type="dcterms:W3CDTF">2016-01-26T10:23:00Z</dcterms:created>
  <dcterms:modified xsi:type="dcterms:W3CDTF">2016-04-18T20:50:00Z</dcterms:modified>
</cp:coreProperties>
</file>